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1F" w:rsidRDefault="00686670" w:rsidP="00C56D1F">
      <w:pPr>
        <w:rPr>
          <w:rFonts w:ascii="Rockwell" w:hAnsi="Rockwell"/>
        </w:rPr>
      </w:pPr>
      <w:r>
        <w:rPr>
          <w:rFonts w:ascii="Rockwell" w:hAnsi="Rockwell"/>
          <w:noProof/>
        </w:rPr>
        <w:drawing>
          <wp:inline distT="0" distB="0" distL="0" distR="0">
            <wp:extent cx="1112520" cy="1101466"/>
            <wp:effectExtent l="2540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13634" cy="1102569"/>
                    </a:xfrm>
                    <a:prstGeom prst="rect">
                      <a:avLst/>
                    </a:prstGeom>
                    <a:noFill/>
                    <a:ln w="9525">
                      <a:noFill/>
                      <a:miter lim="800000"/>
                      <a:headEnd/>
                      <a:tailEnd/>
                    </a:ln>
                  </pic:spPr>
                </pic:pic>
              </a:graphicData>
            </a:graphic>
          </wp:inline>
        </w:drawing>
      </w:r>
    </w:p>
    <w:p w:rsidR="00C56D1F" w:rsidRDefault="00C56D1F" w:rsidP="00C56D1F">
      <w:pPr>
        <w:rPr>
          <w:rFonts w:ascii="Rockwell" w:hAnsi="Rockwell"/>
        </w:rPr>
      </w:pPr>
    </w:p>
    <w:p w:rsidR="00C56D1F" w:rsidRPr="00686670" w:rsidRDefault="00C56D1F" w:rsidP="00C56D1F">
      <w:pPr>
        <w:rPr>
          <w:rFonts w:ascii="Rockwell" w:hAnsi="Rockwell"/>
          <w:b/>
          <w:color w:val="FF6600"/>
          <w:sz w:val="28"/>
        </w:rPr>
      </w:pPr>
      <w:r w:rsidRPr="00686670">
        <w:rPr>
          <w:rFonts w:ascii="Rockwell" w:hAnsi="Rockwell"/>
          <w:b/>
          <w:color w:val="FF6600"/>
          <w:sz w:val="28"/>
        </w:rPr>
        <w:t>Keystone Church Leadership Covenant</w:t>
      </w:r>
    </w:p>
    <w:p w:rsidR="00F5002B" w:rsidRPr="00F5002B" w:rsidRDefault="00C56D1F" w:rsidP="00F5002B">
      <w:pPr>
        <w:rPr>
          <w:rFonts w:ascii="Rockwell" w:hAnsi="Rockwell"/>
          <w:sz w:val="22"/>
        </w:rPr>
      </w:pPr>
      <w:r w:rsidRPr="00A60934">
        <w:rPr>
          <w:rFonts w:ascii="Rockwell" w:hAnsi="Rockwell"/>
          <w:sz w:val="22"/>
        </w:rPr>
        <w:t xml:space="preserve">Keystone Church operates under biblical authority and we recognize the Bible as the ultimate source for truth and wisdom.  </w:t>
      </w:r>
      <w:r w:rsidR="00F5002B" w:rsidRPr="00F5002B">
        <w:rPr>
          <w:rFonts w:ascii="Rockwell" w:hAnsi="Rockwell"/>
          <w:sz w:val="22"/>
        </w:rPr>
        <w:t>It is important to say that we believe that God loves all people and His grace is offered to everyone, regardless of his or her current lifestyle and choices.  The criteria listed below are specifically laid out in the Scriptures as qualifications for those in positions of leadership and influence, not to point out a category of people that God does not love or offer His grace.  This understanding is vital in order to see the parameters rightly.</w:t>
      </w:r>
    </w:p>
    <w:p w:rsidR="00F5002B" w:rsidRDefault="00F5002B" w:rsidP="00F5002B">
      <w:pPr>
        <w:rPr>
          <w:rFonts w:ascii="Rockwell" w:hAnsi="Rockwell"/>
          <w:sz w:val="22"/>
        </w:rPr>
      </w:pPr>
    </w:p>
    <w:p w:rsidR="00F5002B" w:rsidRPr="00F5002B" w:rsidRDefault="00F5002B" w:rsidP="00F5002B">
      <w:pPr>
        <w:rPr>
          <w:rFonts w:ascii="Rockwell" w:hAnsi="Rockwell"/>
          <w:sz w:val="22"/>
        </w:rPr>
      </w:pPr>
      <w:r w:rsidRPr="00F5002B">
        <w:rPr>
          <w:rFonts w:ascii="Rockwell" w:hAnsi="Rockwell"/>
          <w:sz w:val="22"/>
        </w:rPr>
        <w:t>Employees and volunteers in positions of spiritual influence and leadership are expected to recognize biblical teachings in regards to lifestyle choices and are expected to:</w:t>
      </w:r>
    </w:p>
    <w:p w:rsidR="00F5002B" w:rsidRPr="0015622D" w:rsidRDefault="00F5002B" w:rsidP="00F5002B">
      <w:pPr>
        <w:widowControl w:val="0"/>
        <w:autoSpaceDE w:val="0"/>
        <w:autoSpaceDN w:val="0"/>
        <w:adjustRightInd w:val="0"/>
        <w:ind w:left="720"/>
      </w:pPr>
    </w:p>
    <w:p w:rsidR="00F5002B" w:rsidRPr="00F5002B" w:rsidRDefault="00F5002B" w:rsidP="00F5002B">
      <w:pPr>
        <w:pStyle w:val="ListParagraph"/>
        <w:numPr>
          <w:ilvl w:val="0"/>
          <w:numId w:val="1"/>
        </w:numPr>
        <w:ind w:left="360"/>
        <w:rPr>
          <w:rFonts w:ascii="Rockwell" w:hAnsi="Rockwell"/>
          <w:sz w:val="22"/>
        </w:rPr>
      </w:pPr>
      <w:r w:rsidRPr="00F5002B">
        <w:rPr>
          <w:rFonts w:ascii="Rockwell" w:hAnsi="Rockwell"/>
          <w:sz w:val="22"/>
        </w:rPr>
        <w:t>Be faithful to their spouse in marriage or chaste in singleness. </w:t>
      </w:r>
    </w:p>
    <w:p w:rsidR="00F5002B" w:rsidRPr="00F5002B" w:rsidRDefault="00F5002B" w:rsidP="00F5002B">
      <w:pPr>
        <w:pStyle w:val="ListParagraph"/>
        <w:ind w:left="360"/>
        <w:rPr>
          <w:rFonts w:ascii="Rockwell" w:hAnsi="Rockwell"/>
          <w:i/>
          <w:sz w:val="22"/>
        </w:rPr>
      </w:pPr>
      <w:r w:rsidRPr="00F5002B">
        <w:rPr>
          <w:rFonts w:ascii="Rockwell" w:hAnsi="Rockwell"/>
          <w:i/>
          <w:sz w:val="22"/>
        </w:rPr>
        <w:t>Exodus 20:14; Matthew 5:27-28; 1 Corinthians 6:18-20; 1 Thessalonians 4:3; Hebrews 13:4</w:t>
      </w:r>
    </w:p>
    <w:p w:rsidR="00F5002B" w:rsidRPr="0015622D" w:rsidRDefault="00F5002B" w:rsidP="00F5002B">
      <w:pPr>
        <w:rPr>
          <w:i/>
        </w:rPr>
      </w:pPr>
    </w:p>
    <w:p w:rsidR="00F5002B" w:rsidRPr="00C33817" w:rsidRDefault="00F5002B" w:rsidP="00C33817">
      <w:pPr>
        <w:pStyle w:val="ListParagraph"/>
        <w:numPr>
          <w:ilvl w:val="0"/>
          <w:numId w:val="1"/>
        </w:numPr>
        <w:ind w:left="360"/>
      </w:pPr>
      <w:r w:rsidRPr="0015622D">
        <w:t>Provide for the emotional, mental, physical and spiritual needs of their own family.</w:t>
      </w:r>
      <w:r w:rsidR="00C33817">
        <w:t xml:space="preserve">  </w:t>
      </w:r>
      <w:r w:rsidRPr="00C33817">
        <w:rPr>
          <w:rFonts w:ascii="Rockwell" w:hAnsi="Rockwell"/>
          <w:i/>
          <w:sz w:val="22"/>
        </w:rPr>
        <w:t>1 Timothy 5:8, Luke 11:11-13; Ephesians 6:4; Colossians 3:21</w:t>
      </w:r>
    </w:p>
    <w:p w:rsidR="00F5002B" w:rsidRPr="0015622D" w:rsidRDefault="00F5002B" w:rsidP="00F5002B">
      <w:pPr>
        <w:pStyle w:val="ListParagraph"/>
        <w:ind w:left="360"/>
        <w:rPr>
          <w:i/>
        </w:rPr>
      </w:pPr>
    </w:p>
    <w:p w:rsidR="00F5002B" w:rsidRPr="0015622D" w:rsidRDefault="00F5002B" w:rsidP="00F5002B">
      <w:pPr>
        <w:pStyle w:val="ListParagraph"/>
        <w:numPr>
          <w:ilvl w:val="0"/>
          <w:numId w:val="1"/>
        </w:numPr>
        <w:ind w:left="360"/>
      </w:pPr>
      <w:r w:rsidRPr="0015622D">
        <w:t>Be generous and willing to share</w:t>
      </w:r>
      <w:r w:rsidR="00C33817">
        <w:t>.</w:t>
      </w:r>
    </w:p>
    <w:p w:rsidR="00F5002B" w:rsidRPr="00F5002B" w:rsidRDefault="00F5002B" w:rsidP="00F5002B">
      <w:pPr>
        <w:pStyle w:val="ListParagraph"/>
        <w:ind w:left="360"/>
        <w:rPr>
          <w:rFonts w:ascii="Rockwell" w:hAnsi="Rockwell"/>
          <w:i/>
          <w:sz w:val="22"/>
        </w:rPr>
      </w:pPr>
      <w:r w:rsidRPr="00F5002B">
        <w:rPr>
          <w:rFonts w:ascii="Rockwell" w:hAnsi="Rockwell"/>
          <w:i/>
          <w:sz w:val="22"/>
        </w:rPr>
        <w:t>Deuteronomy 15:7-8; Psalm 41:1-3; Proverbs 11:24-25; Proverbs 19:17; Matthew 10:42; 2 Corinthians 9:6-8; 1 Timothy 6:17-19 </w:t>
      </w:r>
    </w:p>
    <w:p w:rsidR="00F5002B" w:rsidRDefault="00F5002B" w:rsidP="00F5002B"/>
    <w:p w:rsidR="00F5002B" w:rsidRPr="00C33817" w:rsidRDefault="00F5002B" w:rsidP="00C33817">
      <w:pPr>
        <w:pStyle w:val="ListParagraph"/>
        <w:numPr>
          <w:ilvl w:val="0"/>
          <w:numId w:val="1"/>
        </w:numPr>
        <w:ind w:left="360"/>
      </w:pPr>
      <w:r w:rsidRPr="0015622D">
        <w:t>Refrain from the excessive use of alcohol and Abstain from the use of illegal drugs</w:t>
      </w:r>
      <w:r w:rsidR="00C33817">
        <w:t xml:space="preserve">.  </w:t>
      </w:r>
      <w:proofErr w:type="gramStart"/>
      <w:r w:rsidRPr="00C33817">
        <w:rPr>
          <w:rFonts w:ascii="Rockwell" w:hAnsi="Rockwell"/>
          <w:i/>
          <w:sz w:val="22"/>
        </w:rPr>
        <w:t>1</w:t>
      </w:r>
      <w:proofErr w:type="gramEnd"/>
      <w:r w:rsidRPr="00C33817">
        <w:rPr>
          <w:rFonts w:ascii="Rockwell" w:hAnsi="Rockwell"/>
          <w:i/>
          <w:sz w:val="22"/>
        </w:rPr>
        <w:t xml:space="preserve"> Corinthians 6:12; 1 Timothy 3:3</w:t>
      </w:r>
    </w:p>
    <w:p w:rsidR="00F5002B" w:rsidRPr="0015622D" w:rsidRDefault="00F5002B" w:rsidP="00F5002B">
      <w:pPr>
        <w:widowControl w:val="0"/>
        <w:autoSpaceDE w:val="0"/>
        <w:autoSpaceDN w:val="0"/>
        <w:adjustRightInd w:val="0"/>
        <w:ind w:left="720" w:firstLine="720"/>
        <w:rPr>
          <w:i/>
        </w:rPr>
      </w:pPr>
    </w:p>
    <w:p w:rsidR="00C33817" w:rsidRDefault="00F5002B" w:rsidP="00F5002B">
      <w:pPr>
        <w:rPr>
          <w:rFonts w:ascii="Rockwell" w:hAnsi="Rockwell"/>
          <w:sz w:val="22"/>
        </w:rPr>
      </w:pPr>
      <w:r w:rsidRPr="00F5002B">
        <w:rPr>
          <w:rFonts w:ascii="Rockwell" w:hAnsi="Rockwell"/>
          <w:sz w:val="22"/>
        </w:rPr>
        <w:t>Although the prevailing cultural views and values regarding sexual expression, orientation and gender identity are changing; as a ministry and a church that remains committed to the scriptures and the doctrines of the Wesleyan Church we would ask that the individuals participating in the following lifestyles seek a non-leadership place of service within the church:</w:t>
      </w:r>
    </w:p>
    <w:p w:rsidR="00F5002B" w:rsidRPr="00F5002B" w:rsidRDefault="00F5002B" w:rsidP="00F5002B">
      <w:pPr>
        <w:rPr>
          <w:rFonts w:ascii="Rockwell" w:hAnsi="Rockwell"/>
          <w:sz w:val="22"/>
        </w:rPr>
      </w:pPr>
    </w:p>
    <w:p w:rsidR="00F5002B" w:rsidRPr="00F5002B" w:rsidRDefault="00F5002B" w:rsidP="00F5002B">
      <w:pPr>
        <w:pStyle w:val="ListParagraph"/>
        <w:numPr>
          <w:ilvl w:val="0"/>
          <w:numId w:val="1"/>
        </w:numPr>
        <w:ind w:left="360"/>
      </w:pPr>
      <w:r w:rsidRPr="00F5002B">
        <w:t>Those cohabiting with someone of the opposite sex outside of marriage</w:t>
      </w:r>
    </w:p>
    <w:p w:rsidR="00F5002B" w:rsidRPr="00F5002B" w:rsidRDefault="00F5002B" w:rsidP="00F5002B">
      <w:pPr>
        <w:pStyle w:val="ListParagraph"/>
        <w:numPr>
          <w:ilvl w:val="0"/>
          <w:numId w:val="1"/>
        </w:numPr>
        <w:ind w:left="360"/>
      </w:pPr>
      <w:r w:rsidRPr="00F5002B">
        <w:t>Those participating in a homosexual relationship</w:t>
      </w:r>
    </w:p>
    <w:p w:rsidR="00F5002B" w:rsidRPr="00F5002B" w:rsidRDefault="00F5002B" w:rsidP="00F5002B">
      <w:pPr>
        <w:pStyle w:val="ListParagraph"/>
        <w:numPr>
          <w:ilvl w:val="0"/>
          <w:numId w:val="1"/>
        </w:numPr>
        <w:ind w:left="360"/>
      </w:pPr>
      <w:r w:rsidRPr="00F5002B">
        <w:t>Those who identify as transgender</w:t>
      </w:r>
    </w:p>
    <w:p w:rsidR="00F5002B" w:rsidRPr="00F5002B" w:rsidRDefault="00F5002B" w:rsidP="00F5002B">
      <w:pPr>
        <w:pStyle w:val="ListParagraph"/>
        <w:ind w:left="360"/>
        <w:rPr>
          <w:rFonts w:ascii="Rockwell" w:hAnsi="Rockwell"/>
          <w:i/>
          <w:sz w:val="22"/>
        </w:rPr>
      </w:pPr>
      <w:r w:rsidRPr="00F5002B">
        <w:rPr>
          <w:rFonts w:ascii="Rockwell" w:hAnsi="Rockwell"/>
          <w:i/>
          <w:sz w:val="22"/>
        </w:rPr>
        <w:t>Genesis 2:24; Malachi 2:13-15; Matthew 19:4-6; 1 Corinthians 6:9-11; Ephesians 5:25-32; Deuteronomy 5:18; Leviticus 18; Romans 1:24-32; 1 Timothy 1:9-10</w:t>
      </w:r>
    </w:p>
    <w:p w:rsidR="00C56D1F" w:rsidRPr="00A60934" w:rsidRDefault="00C56D1F" w:rsidP="00C56D1F">
      <w:pPr>
        <w:rPr>
          <w:rFonts w:ascii="Rockwell" w:hAnsi="Rockwell"/>
          <w:sz w:val="22"/>
        </w:rPr>
      </w:pPr>
    </w:p>
    <w:p w:rsidR="00C56D1F" w:rsidRPr="00A60934" w:rsidRDefault="00C33817" w:rsidP="00F31EB2">
      <w:pPr>
        <w:rPr>
          <w:rFonts w:ascii="Rockwell" w:hAnsi="Rockwell"/>
          <w:b/>
        </w:rPr>
      </w:pPr>
      <w:r>
        <w:rPr>
          <w:rFonts w:ascii="Rockwell" w:hAnsi="Rockwell"/>
          <w:b/>
        </w:rPr>
        <w:br w:type="page"/>
      </w:r>
      <w:r w:rsidR="00C56D1F" w:rsidRPr="00A60934">
        <w:rPr>
          <w:rFonts w:ascii="Rockwell" w:hAnsi="Rockwell"/>
          <w:b/>
        </w:rPr>
        <w:t>This Leadership Covenant Applies to:</w:t>
      </w:r>
    </w:p>
    <w:p w:rsidR="00F5002B" w:rsidRPr="00A60934" w:rsidRDefault="00F5002B" w:rsidP="00F5002B">
      <w:pPr>
        <w:pStyle w:val="ListParagraph"/>
        <w:numPr>
          <w:ilvl w:val="0"/>
          <w:numId w:val="2"/>
        </w:numPr>
        <w:rPr>
          <w:rFonts w:ascii="Rockwell" w:hAnsi="Rockwell"/>
          <w:sz w:val="22"/>
        </w:rPr>
      </w:pPr>
      <w:r w:rsidRPr="00A60934">
        <w:rPr>
          <w:rFonts w:ascii="Rockwell" w:hAnsi="Rockwell"/>
          <w:sz w:val="22"/>
        </w:rPr>
        <w:t>Keystone Leadership Team</w:t>
      </w:r>
    </w:p>
    <w:p w:rsidR="00F5002B" w:rsidRPr="00A60934" w:rsidRDefault="00F5002B" w:rsidP="00F5002B">
      <w:pPr>
        <w:pStyle w:val="ListParagraph"/>
        <w:numPr>
          <w:ilvl w:val="0"/>
          <w:numId w:val="2"/>
        </w:numPr>
        <w:rPr>
          <w:rFonts w:ascii="Rockwell" w:hAnsi="Rockwell"/>
          <w:sz w:val="22"/>
        </w:rPr>
      </w:pPr>
      <w:r w:rsidRPr="00A60934">
        <w:rPr>
          <w:rFonts w:ascii="Rockwell" w:hAnsi="Rockwell"/>
          <w:sz w:val="22"/>
        </w:rPr>
        <w:t>Worship Ministry (vocalists &amp; instrumentalists)</w:t>
      </w:r>
    </w:p>
    <w:p w:rsidR="00F5002B" w:rsidRPr="00A60934" w:rsidRDefault="00F5002B" w:rsidP="00F5002B">
      <w:pPr>
        <w:pStyle w:val="ListParagraph"/>
        <w:numPr>
          <w:ilvl w:val="0"/>
          <w:numId w:val="2"/>
        </w:numPr>
        <w:rPr>
          <w:rFonts w:ascii="Rockwell" w:hAnsi="Rockwell"/>
          <w:sz w:val="22"/>
        </w:rPr>
      </w:pPr>
      <w:proofErr w:type="spellStart"/>
      <w:r w:rsidRPr="00A60934">
        <w:rPr>
          <w:rFonts w:ascii="Rockwell" w:hAnsi="Rockwell"/>
          <w:sz w:val="22"/>
        </w:rPr>
        <w:t>GroupLife</w:t>
      </w:r>
      <w:proofErr w:type="spellEnd"/>
      <w:r w:rsidRPr="00A60934">
        <w:rPr>
          <w:rFonts w:ascii="Rockwell" w:hAnsi="Rockwell"/>
          <w:sz w:val="22"/>
        </w:rPr>
        <w:t xml:space="preserve"> Small Group Leaders</w:t>
      </w:r>
    </w:p>
    <w:p w:rsidR="00F5002B" w:rsidRPr="00A60934" w:rsidRDefault="00F5002B" w:rsidP="00F5002B">
      <w:pPr>
        <w:pStyle w:val="ListParagraph"/>
        <w:numPr>
          <w:ilvl w:val="0"/>
          <w:numId w:val="2"/>
        </w:numPr>
        <w:rPr>
          <w:rFonts w:ascii="Rockwell" w:hAnsi="Rockwell"/>
          <w:sz w:val="22"/>
        </w:rPr>
      </w:pPr>
      <w:r w:rsidRPr="00A60934">
        <w:rPr>
          <w:rFonts w:ascii="Rockwell" w:hAnsi="Rockwell"/>
          <w:sz w:val="22"/>
        </w:rPr>
        <w:t>Family Ministry (</w:t>
      </w:r>
      <w:proofErr w:type="spellStart"/>
      <w:r w:rsidRPr="00A60934">
        <w:rPr>
          <w:rFonts w:ascii="Rockwell" w:hAnsi="Rockwell"/>
          <w:sz w:val="22"/>
        </w:rPr>
        <w:t>Waumba</w:t>
      </w:r>
      <w:proofErr w:type="spellEnd"/>
      <w:r w:rsidRPr="00A60934">
        <w:rPr>
          <w:rFonts w:ascii="Rockwell" w:hAnsi="Rockwell"/>
          <w:sz w:val="22"/>
        </w:rPr>
        <w:t xml:space="preserve"> Land, </w:t>
      </w:r>
      <w:proofErr w:type="spellStart"/>
      <w:r w:rsidRPr="00A60934">
        <w:rPr>
          <w:rFonts w:ascii="Rockwell" w:hAnsi="Rockwell"/>
          <w:sz w:val="22"/>
        </w:rPr>
        <w:t>UpStreet</w:t>
      </w:r>
      <w:proofErr w:type="spellEnd"/>
      <w:r w:rsidRPr="00A60934">
        <w:rPr>
          <w:rFonts w:ascii="Rockwell" w:hAnsi="Rockwell"/>
          <w:sz w:val="22"/>
        </w:rPr>
        <w:t>, ECHO, Special Needs)</w:t>
      </w:r>
    </w:p>
    <w:p w:rsidR="00F5002B" w:rsidRPr="00A60934" w:rsidRDefault="00F5002B" w:rsidP="00F5002B">
      <w:pPr>
        <w:pStyle w:val="ListParagraph"/>
        <w:numPr>
          <w:ilvl w:val="0"/>
          <w:numId w:val="2"/>
        </w:numPr>
        <w:rPr>
          <w:rFonts w:ascii="Rockwell" w:hAnsi="Rockwell"/>
          <w:sz w:val="22"/>
        </w:rPr>
      </w:pPr>
      <w:r w:rsidRPr="00A60934">
        <w:rPr>
          <w:rFonts w:ascii="Rockwell" w:hAnsi="Rockwell"/>
          <w:sz w:val="22"/>
        </w:rPr>
        <w:t>Care Ministry Mentor Team</w:t>
      </w:r>
    </w:p>
    <w:p w:rsidR="00C56D1F" w:rsidRDefault="00C56D1F"/>
    <w:p w:rsidR="00C56D1F" w:rsidRPr="00686670" w:rsidRDefault="00C56D1F" w:rsidP="00C56D1F">
      <w:pPr>
        <w:rPr>
          <w:rFonts w:ascii="Rockwell" w:hAnsi="Rockwell"/>
          <w:b/>
          <w:color w:val="FF6600"/>
          <w:sz w:val="28"/>
        </w:rPr>
      </w:pPr>
      <w:r w:rsidRPr="00686670">
        <w:rPr>
          <w:rFonts w:ascii="Rockwell" w:hAnsi="Rockwell"/>
          <w:b/>
          <w:color w:val="FF6600"/>
          <w:sz w:val="28"/>
        </w:rPr>
        <w:t>Employee Covenant</w:t>
      </w:r>
    </w:p>
    <w:p w:rsidR="00C56D1F" w:rsidRPr="00A60934" w:rsidRDefault="00C56D1F" w:rsidP="00C56D1F">
      <w:pPr>
        <w:rPr>
          <w:rFonts w:ascii="Rockwell" w:hAnsi="Rockwell"/>
          <w:sz w:val="22"/>
        </w:rPr>
      </w:pPr>
      <w:r w:rsidRPr="00A60934">
        <w:rPr>
          <w:rFonts w:ascii="Rockwell" w:hAnsi="Rockwell"/>
          <w:sz w:val="22"/>
        </w:rPr>
        <w:t xml:space="preserve">All employees of Keystone Church must operate within the Keystone Church Personnel Policies and the </w:t>
      </w:r>
      <w:r w:rsidR="00731076" w:rsidRPr="00A60934">
        <w:rPr>
          <w:rFonts w:ascii="Rockwell" w:hAnsi="Rockwell"/>
          <w:sz w:val="22"/>
        </w:rPr>
        <w:t xml:space="preserve">Membership Commitments of </w:t>
      </w:r>
      <w:r w:rsidRPr="00A60934">
        <w:rPr>
          <w:rFonts w:ascii="Rockwell" w:hAnsi="Rockwell"/>
          <w:sz w:val="22"/>
        </w:rPr>
        <w:t xml:space="preserve">the Wesleyan Church, including the Leadership Covenant outlined above. </w:t>
      </w:r>
    </w:p>
    <w:p w:rsidR="00C56D1F" w:rsidRDefault="00C56D1F" w:rsidP="00C56D1F">
      <w:pPr>
        <w:rPr>
          <w:rFonts w:ascii="Rockwell" w:hAnsi="Rockwell"/>
        </w:rPr>
      </w:pPr>
    </w:p>
    <w:p w:rsidR="00C56D1F" w:rsidRPr="00686670" w:rsidRDefault="00C33817" w:rsidP="00C56D1F">
      <w:pPr>
        <w:rPr>
          <w:rFonts w:ascii="Rockwell" w:hAnsi="Rockwell"/>
          <w:b/>
          <w:color w:val="FF6600"/>
          <w:sz w:val="28"/>
        </w:rPr>
      </w:pPr>
      <w:r>
        <w:rPr>
          <w:rFonts w:ascii="Rockwell" w:hAnsi="Rockwell"/>
          <w:b/>
          <w:color w:val="FF6600"/>
          <w:sz w:val="28"/>
        </w:rPr>
        <w:t>Other Volunteer Positions</w:t>
      </w:r>
    </w:p>
    <w:p w:rsidR="00686670" w:rsidRPr="00A60934" w:rsidRDefault="00F5002B" w:rsidP="00C33817">
      <w:pPr>
        <w:rPr>
          <w:rFonts w:ascii="Rockwell" w:hAnsi="Rockwell"/>
          <w:sz w:val="22"/>
        </w:rPr>
      </w:pPr>
      <w:r>
        <w:rPr>
          <w:rFonts w:ascii="Rockwell" w:hAnsi="Rockwell"/>
          <w:sz w:val="22"/>
        </w:rPr>
        <w:t xml:space="preserve">The following </w:t>
      </w:r>
      <w:r w:rsidR="00C56D1F" w:rsidRPr="00A60934">
        <w:rPr>
          <w:rFonts w:ascii="Rockwell" w:hAnsi="Rockwell"/>
          <w:sz w:val="22"/>
        </w:rPr>
        <w:t xml:space="preserve">volunteer </w:t>
      </w:r>
      <w:r>
        <w:rPr>
          <w:rFonts w:ascii="Rockwell" w:hAnsi="Rockwell"/>
          <w:sz w:val="22"/>
        </w:rPr>
        <w:t xml:space="preserve">roles are </w:t>
      </w:r>
      <w:r w:rsidR="00C33817">
        <w:rPr>
          <w:rFonts w:ascii="Rockwell" w:hAnsi="Rockwell"/>
          <w:sz w:val="22"/>
        </w:rPr>
        <w:t xml:space="preserve">considered non-leadership </w:t>
      </w:r>
      <w:r w:rsidR="00C56D1F" w:rsidRPr="00A60934">
        <w:rPr>
          <w:rFonts w:ascii="Rockwell" w:hAnsi="Rockwell"/>
          <w:sz w:val="22"/>
        </w:rPr>
        <w:t>positions at Keystone Chu</w:t>
      </w:r>
      <w:r w:rsidR="00C33817">
        <w:rPr>
          <w:rFonts w:ascii="Rockwell" w:hAnsi="Rockwell"/>
          <w:sz w:val="22"/>
        </w:rPr>
        <w:t xml:space="preserve">rch, and therefore </w:t>
      </w:r>
      <w:r w:rsidR="00C56D1F" w:rsidRPr="00A60934">
        <w:rPr>
          <w:rFonts w:ascii="Rockwell" w:hAnsi="Rockwell"/>
          <w:sz w:val="22"/>
        </w:rPr>
        <w:t xml:space="preserve">not </w:t>
      </w:r>
      <w:r w:rsidR="00686670" w:rsidRPr="00A60934">
        <w:rPr>
          <w:rFonts w:ascii="Rockwell" w:hAnsi="Rockwell"/>
          <w:sz w:val="22"/>
        </w:rPr>
        <w:t xml:space="preserve">held to the Leadership Covenant.  </w:t>
      </w:r>
    </w:p>
    <w:p w:rsidR="00686670" w:rsidRPr="00686670" w:rsidRDefault="00686670" w:rsidP="00686670">
      <w:pPr>
        <w:rPr>
          <w:rFonts w:ascii="Rockwell" w:hAnsi="Rockwel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368"/>
        <w:gridCol w:w="4368"/>
      </w:tblGrid>
      <w:tr w:rsidR="00686670">
        <w:trPr>
          <w:trHeight w:val="292"/>
        </w:trPr>
        <w:tc>
          <w:tcPr>
            <w:tcW w:w="4368" w:type="dxa"/>
          </w:tcPr>
          <w:p w:rsidR="00686670" w:rsidRPr="00A60934" w:rsidRDefault="00686670" w:rsidP="00686670">
            <w:pPr>
              <w:pStyle w:val="ListParagraph"/>
              <w:numPr>
                <w:ilvl w:val="0"/>
                <w:numId w:val="3"/>
              </w:numPr>
              <w:rPr>
                <w:rFonts w:ascii="Rockwell" w:hAnsi="Rockwell"/>
                <w:sz w:val="22"/>
              </w:rPr>
            </w:pPr>
            <w:r w:rsidRPr="00A60934">
              <w:rPr>
                <w:rFonts w:ascii="Rockwell" w:hAnsi="Rockwell"/>
                <w:sz w:val="22"/>
              </w:rPr>
              <w:t>Office Assistance</w:t>
            </w:r>
          </w:p>
        </w:tc>
        <w:tc>
          <w:tcPr>
            <w:tcW w:w="4368" w:type="dxa"/>
          </w:tcPr>
          <w:p w:rsidR="00686670" w:rsidRPr="00A60934" w:rsidRDefault="00686670" w:rsidP="00686670">
            <w:pPr>
              <w:pStyle w:val="ListParagraph"/>
              <w:numPr>
                <w:ilvl w:val="0"/>
                <w:numId w:val="3"/>
              </w:numPr>
              <w:rPr>
                <w:rFonts w:ascii="Rockwell" w:hAnsi="Rockwell"/>
                <w:sz w:val="22"/>
              </w:rPr>
            </w:pPr>
            <w:r w:rsidRPr="00A60934">
              <w:rPr>
                <w:rFonts w:ascii="Rockwell" w:hAnsi="Rockwell"/>
                <w:sz w:val="22"/>
              </w:rPr>
              <w:t>Guest Services</w:t>
            </w:r>
          </w:p>
        </w:tc>
      </w:tr>
      <w:tr w:rsidR="00686670">
        <w:trPr>
          <w:trHeight w:val="310"/>
        </w:trPr>
        <w:tc>
          <w:tcPr>
            <w:tcW w:w="4368" w:type="dxa"/>
          </w:tcPr>
          <w:p w:rsidR="00686670" w:rsidRPr="00A60934" w:rsidRDefault="00686670" w:rsidP="00686670">
            <w:pPr>
              <w:pStyle w:val="ListParagraph"/>
              <w:numPr>
                <w:ilvl w:val="0"/>
                <w:numId w:val="3"/>
              </w:numPr>
              <w:rPr>
                <w:rFonts w:ascii="Rockwell" w:hAnsi="Rockwell"/>
                <w:sz w:val="22"/>
              </w:rPr>
            </w:pPr>
            <w:r w:rsidRPr="00A60934">
              <w:rPr>
                <w:rFonts w:ascii="Rockwell" w:hAnsi="Rockwell"/>
                <w:sz w:val="22"/>
              </w:rPr>
              <w:t>Arts:  Drama &amp; Stage Design</w:t>
            </w:r>
          </w:p>
        </w:tc>
        <w:tc>
          <w:tcPr>
            <w:tcW w:w="4368" w:type="dxa"/>
          </w:tcPr>
          <w:p w:rsidR="00686670" w:rsidRPr="00A60934" w:rsidRDefault="00686670" w:rsidP="00686670">
            <w:pPr>
              <w:pStyle w:val="ListParagraph"/>
              <w:numPr>
                <w:ilvl w:val="0"/>
                <w:numId w:val="3"/>
              </w:numPr>
              <w:rPr>
                <w:rFonts w:ascii="Rockwell" w:hAnsi="Rockwell"/>
                <w:sz w:val="22"/>
              </w:rPr>
            </w:pPr>
            <w:r w:rsidRPr="00A60934">
              <w:rPr>
                <w:rFonts w:ascii="Rockwell" w:hAnsi="Rockwell"/>
                <w:sz w:val="22"/>
              </w:rPr>
              <w:t>Facilities</w:t>
            </w:r>
          </w:p>
        </w:tc>
      </w:tr>
      <w:tr w:rsidR="00686670">
        <w:trPr>
          <w:trHeight w:val="310"/>
        </w:trPr>
        <w:tc>
          <w:tcPr>
            <w:tcW w:w="4368" w:type="dxa"/>
          </w:tcPr>
          <w:p w:rsidR="00686670" w:rsidRPr="00A60934" w:rsidRDefault="00686670" w:rsidP="00686670">
            <w:pPr>
              <w:pStyle w:val="ListParagraph"/>
              <w:numPr>
                <w:ilvl w:val="0"/>
                <w:numId w:val="3"/>
              </w:numPr>
              <w:rPr>
                <w:rFonts w:ascii="Rockwell" w:hAnsi="Rockwell"/>
                <w:sz w:val="22"/>
              </w:rPr>
            </w:pPr>
            <w:r w:rsidRPr="00A60934">
              <w:rPr>
                <w:rFonts w:ascii="Rockwell" w:hAnsi="Rockwell"/>
                <w:sz w:val="22"/>
              </w:rPr>
              <w:t>Production Team</w:t>
            </w:r>
          </w:p>
        </w:tc>
        <w:tc>
          <w:tcPr>
            <w:tcW w:w="4368" w:type="dxa"/>
          </w:tcPr>
          <w:p w:rsidR="00686670" w:rsidRPr="00A60934" w:rsidRDefault="00686670" w:rsidP="00686670">
            <w:pPr>
              <w:pStyle w:val="ListParagraph"/>
              <w:numPr>
                <w:ilvl w:val="0"/>
                <w:numId w:val="3"/>
              </w:numPr>
              <w:rPr>
                <w:rFonts w:ascii="Rockwell" w:hAnsi="Rockwell"/>
                <w:sz w:val="22"/>
              </w:rPr>
            </w:pPr>
            <w:r w:rsidRPr="00A60934">
              <w:rPr>
                <w:rFonts w:ascii="Rockwell" w:hAnsi="Rockwell"/>
                <w:sz w:val="22"/>
              </w:rPr>
              <w:t>Prayer Ministry</w:t>
            </w:r>
          </w:p>
        </w:tc>
      </w:tr>
      <w:tr w:rsidR="00686670">
        <w:trPr>
          <w:trHeight w:val="292"/>
        </w:trPr>
        <w:tc>
          <w:tcPr>
            <w:tcW w:w="4368" w:type="dxa"/>
          </w:tcPr>
          <w:p w:rsidR="00686670" w:rsidRPr="00A60934" w:rsidRDefault="00686670" w:rsidP="00686670">
            <w:pPr>
              <w:pStyle w:val="ListParagraph"/>
              <w:numPr>
                <w:ilvl w:val="0"/>
                <w:numId w:val="3"/>
              </w:numPr>
              <w:rPr>
                <w:rFonts w:ascii="Rockwell" w:hAnsi="Rockwell"/>
                <w:sz w:val="22"/>
              </w:rPr>
            </w:pPr>
            <w:r w:rsidRPr="00A60934">
              <w:rPr>
                <w:rFonts w:ascii="Rockwell" w:hAnsi="Rockwell"/>
                <w:sz w:val="22"/>
              </w:rPr>
              <w:t>Care Ministry</w:t>
            </w:r>
          </w:p>
        </w:tc>
        <w:tc>
          <w:tcPr>
            <w:tcW w:w="4368" w:type="dxa"/>
          </w:tcPr>
          <w:p w:rsidR="00686670" w:rsidRPr="00A60934" w:rsidRDefault="00686670" w:rsidP="00686670">
            <w:pPr>
              <w:pStyle w:val="ListParagraph"/>
              <w:numPr>
                <w:ilvl w:val="0"/>
                <w:numId w:val="3"/>
              </w:numPr>
              <w:rPr>
                <w:rFonts w:ascii="Rockwell" w:hAnsi="Rockwell"/>
                <w:sz w:val="22"/>
              </w:rPr>
            </w:pPr>
            <w:r w:rsidRPr="00A60934">
              <w:rPr>
                <w:rFonts w:ascii="Rockwell" w:hAnsi="Rockwell"/>
                <w:sz w:val="22"/>
              </w:rPr>
              <w:t>Global Missions</w:t>
            </w:r>
          </w:p>
        </w:tc>
      </w:tr>
      <w:tr w:rsidR="00686670">
        <w:trPr>
          <w:trHeight w:val="310"/>
        </w:trPr>
        <w:tc>
          <w:tcPr>
            <w:tcW w:w="4368" w:type="dxa"/>
          </w:tcPr>
          <w:p w:rsidR="00686670" w:rsidRPr="00A60934" w:rsidRDefault="00686670" w:rsidP="00686670">
            <w:pPr>
              <w:pStyle w:val="ListParagraph"/>
              <w:numPr>
                <w:ilvl w:val="0"/>
                <w:numId w:val="3"/>
              </w:numPr>
              <w:rPr>
                <w:rFonts w:ascii="Rockwell" w:hAnsi="Rockwell"/>
                <w:sz w:val="22"/>
              </w:rPr>
            </w:pPr>
            <w:r w:rsidRPr="00A60934">
              <w:rPr>
                <w:rFonts w:ascii="Rockwell" w:hAnsi="Rockwell"/>
                <w:sz w:val="22"/>
              </w:rPr>
              <w:t>Connections Min</w:t>
            </w:r>
            <w:r w:rsidR="00731076" w:rsidRPr="00A60934">
              <w:rPr>
                <w:rFonts w:ascii="Rockwell" w:hAnsi="Rockwell"/>
                <w:sz w:val="22"/>
              </w:rPr>
              <w:t>is</w:t>
            </w:r>
            <w:r w:rsidRPr="00A60934">
              <w:rPr>
                <w:rFonts w:ascii="Rockwell" w:hAnsi="Rockwell"/>
                <w:sz w:val="22"/>
              </w:rPr>
              <w:t>try</w:t>
            </w:r>
          </w:p>
        </w:tc>
        <w:tc>
          <w:tcPr>
            <w:tcW w:w="4368" w:type="dxa"/>
          </w:tcPr>
          <w:p w:rsidR="00686670" w:rsidRPr="00A60934" w:rsidRDefault="00686670" w:rsidP="00686670">
            <w:pPr>
              <w:rPr>
                <w:rFonts w:ascii="Rockwell" w:hAnsi="Rockwell"/>
                <w:sz w:val="22"/>
              </w:rPr>
            </w:pPr>
          </w:p>
        </w:tc>
      </w:tr>
    </w:tbl>
    <w:p w:rsidR="00C56D1F" w:rsidRPr="00686670" w:rsidRDefault="00C56D1F" w:rsidP="00686670">
      <w:pPr>
        <w:rPr>
          <w:rFonts w:ascii="Rockwell" w:hAnsi="Rockwell"/>
        </w:rPr>
      </w:pPr>
    </w:p>
    <w:sectPr w:rsidR="00C56D1F" w:rsidRPr="00686670" w:rsidSect="00C56D1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EC6"/>
    <w:multiLevelType w:val="hybridMultilevel"/>
    <w:tmpl w:val="920A0F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24B6B"/>
    <w:multiLevelType w:val="hybridMultilevel"/>
    <w:tmpl w:val="F604B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774D3"/>
    <w:multiLevelType w:val="hybridMultilevel"/>
    <w:tmpl w:val="45E6E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95E82"/>
    <w:multiLevelType w:val="hybridMultilevel"/>
    <w:tmpl w:val="E1AE5192"/>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9E146DF"/>
    <w:multiLevelType w:val="hybridMultilevel"/>
    <w:tmpl w:val="E7987678"/>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540" w:hanging="360"/>
      </w:pPr>
      <w:rPr>
        <w:rFonts w:ascii="Courier New" w:hAnsi="Courier New"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start w:val="1"/>
      <w:numFmt w:val="bullet"/>
      <w:lvlText w:val="o"/>
      <w:lvlJc w:val="left"/>
      <w:pPr>
        <w:ind w:left="2250" w:hanging="360"/>
      </w:pPr>
      <w:rPr>
        <w:rFonts w:ascii="Courier New" w:hAnsi="Courier New" w:hint="default"/>
      </w:rPr>
    </w:lvl>
    <w:lvl w:ilvl="5" w:tplc="04090005">
      <w:start w:val="1"/>
      <w:numFmt w:val="bullet"/>
      <w:lvlText w:val=""/>
      <w:lvlJc w:val="left"/>
      <w:pPr>
        <w:ind w:left="2970" w:hanging="360"/>
      </w:pPr>
      <w:rPr>
        <w:rFonts w:ascii="Wingdings" w:hAnsi="Wingdings" w:hint="default"/>
      </w:rPr>
    </w:lvl>
    <w:lvl w:ilvl="6" w:tplc="0409000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5">
    <w:nsid w:val="4CFB7205"/>
    <w:multiLevelType w:val="hybridMultilevel"/>
    <w:tmpl w:val="D52EE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6D1F"/>
    <w:rsid w:val="00057BB5"/>
    <w:rsid w:val="000F3321"/>
    <w:rsid w:val="00222186"/>
    <w:rsid w:val="00686670"/>
    <w:rsid w:val="00731076"/>
    <w:rsid w:val="009E3C69"/>
    <w:rsid w:val="00A60934"/>
    <w:rsid w:val="00C33817"/>
    <w:rsid w:val="00C56D1F"/>
    <w:rsid w:val="00D75427"/>
    <w:rsid w:val="00F31EB2"/>
    <w:rsid w:val="00F5002B"/>
    <w:rsid w:val="00F9183E"/>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6D1F"/>
    <w:pPr>
      <w:ind w:left="720"/>
      <w:contextualSpacing/>
    </w:pPr>
  </w:style>
  <w:style w:type="table" w:styleId="TableGrid">
    <w:name w:val="Table Grid"/>
    <w:basedOn w:val="TableNormal"/>
    <w:uiPriority w:val="59"/>
    <w:rsid w:val="006866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F5002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2329</Characters>
  <Application>Microsoft Macintosh Word</Application>
  <DocSecurity>0</DocSecurity>
  <Lines>19</Lines>
  <Paragraphs>4</Paragraphs>
  <ScaleCrop>false</ScaleCrop>
  <Company>Keystone Community Church</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Solis</dc:creator>
  <cp:keywords/>
  <cp:lastModifiedBy>Christine Solis</cp:lastModifiedBy>
  <cp:revision>2</cp:revision>
  <cp:lastPrinted>2015-09-15T13:49:00Z</cp:lastPrinted>
  <dcterms:created xsi:type="dcterms:W3CDTF">2016-12-22T20:22:00Z</dcterms:created>
  <dcterms:modified xsi:type="dcterms:W3CDTF">2016-12-22T20:22:00Z</dcterms:modified>
</cp:coreProperties>
</file>